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6"/>
        <w:ind w:left="0" w:right="0"/>
      </w:pPr>
    </w:p>
    <w:p>
      <w:pPr>
        <w:autoSpaceDN w:val="0"/>
        <w:autoSpaceDE w:val="0"/>
        <w:widowControl/>
        <w:spacing w:line="544" w:lineRule="exact" w:before="6" w:after="444"/>
        <w:ind w:left="10" w:right="3600" w:firstLine="0"/>
        <w:jc w:val="left"/>
      </w:pPr>
      <w:r>
        <w:rPr>
          <w:rFonts w:ascii="Helvetica" w:hAnsi="Helvetica" w:eastAsia="Helvetica"/>
          <w:b/>
          <w:i w:val="0"/>
          <w:color w:val="000000"/>
          <w:sz w:val="40"/>
        </w:rPr>
        <w:t xml:space="preserve">A small table, ready to edit </w:t>
      </w:r>
      <w:r>
        <w:br/>
      </w:r>
      <w:r>
        <w:rPr>
          <w:rFonts w:ascii="Helvetica" w:hAnsi="Helvetica" w:eastAsia="Helvetica"/>
          <w:b w:val="0"/>
          <w:i w:val="0"/>
          <w:color w:val="000000"/>
          <w:sz w:val="22"/>
        </w:rPr>
        <w:t>Original synthetic input for Convert Everything. No personal data.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3340"/>
        <w:gridCol w:w="3340"/>
        <w:gridCol w:w="3340"/>
      </w:tblGrid>
      <w:tr>
        <w:trPr>
          <w:trHeight w:hRule="exact" w:val="720"/>
        </w:trPr>
        <w:tc>
          <w:tcPr>
            <w:tcW w:type="dxa" w:w="480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4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000000"/>
                <w:sz w:val="24"/>
              </w:rPr>
              <w:t>Item</w:t>
            </w:r>
          </w:p>
        </w:tc>
        <w:tc>
          <w:tcPr>
            <w:tcW w:type="dxa" w:w="260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4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000000"/>
                <w:sz w:val="24"/>
              </w:rPr>
              <w:t>Quantity</w:t>
            </w:r>
          </w:p>
        </w:tc>
        <w:tc>
          <w:tcPr>
            <w:tcW w:type="dxa" w:w="258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4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000000"/>
                <w:sz w:val="24"/>
              </w:rPr>
              <w:t>Price</w:t>
            </w:r>
          </w:p>
        </w:tc>
      </w:tr>
      <w:tr>
        <w:trPr>
          <w:trHeight w:hRule="exact" w:val="720"/>
        </w:trPr>
        <w:tc>
          <w:tcPr>
            <w:tcW w:type="dxa" w:w="480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2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000000"/>
                <w:sz w:val="24"/>
              </w:rPr>
              <w:t>Notebook</w:t>
            </w:r>
          </w:p>
        </w:tc>
        <w:tc>
          <w:tcPr>
            <w:tcW w:type="dxa" w:w="260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2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type="dxa" w:w="258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2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000000"/>
                <w:sz w:val="24"/>
              </w:rPr>
              <w:t>3.50</w:t>
            </w:r>
          </w:p>
        </w:tc>
      </w:tr>
      <w:tr>
        <w:trPr>
          <w:trHeight w:hRule="exact" w:val="720"/>
        </w:trPr>
        <w:tc>
          <w:tcPr>
            <w:tcW w:type="dxa" w:w="480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2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000000"/>
                <w:sz w:val="24"/>
              </w:rPr>
              <w:t>Pencil</w:t>
            </w:r>
          </w:p>
        </w:tc>
        <w:tc>
          <w:tcPr>
            <w:tcW w:type="dxa" w:w="260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2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2580"/>
            <w:tcBorders>
              <w:start w:sz="8.0" w:val="single" w:color="#000000"/>
              <w:top w:sz="8.0" w:val="single" w:color="#000000"/>
              <w:end w:sz="8.0" w:val="single" w:color="#000000"/>
              <w:bottom w:sz="8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252" w:after="0"/>
              <w:ind w:left="23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000000"/>
                <w:sz w:val="24"/>
              </w:rPr>
              <w:t>0.80</w:t>
            </w:r>
          </w:p>
        </w:tc>
      </w:tr>
    </w:tbl>
    <w:p>
      <w:pPr>
        <w:autoSpaceDN w:val="0"/>
        <w:autoSpaceDE w:val="0"/>
        <w:widowControl/>
        <w:spacing w:line="440" w:lineRule="exact" w:before="496" w:after="0"/>
        <w:ind w:left="0" w:right="3456" w:firstLine="0"/>
        <w:jc w:val="center"/>
      </w:pPr>
      <w:r>
        <w:rPr>
          <w:rFonts w:ascii="Helvetica" w:hAnsi="Helvetica" w:eastAsia="Helvetica"/>
          <w:b w:val="0"/>
          <w:i w:val="0"/>
          <w:color w:val="000000"/>
          <w:sz w:val="22"/>
        </w:rPr>
        <w:t xml:space="preserve">Check that the result contains editable cells and the same values. </w:t>
      </w:r>
      <w:r>
        <w:rPr>
          <w:rFonts w:ascii="Helvetica" w:hAnsi="Helvetica" w:eastAsia="Helvetica"/>
          <w:b w:val="0"/>
          <w:i w:val="0"/>
          <w:color w:val="000000"/>
          <w:sz w:val="22"/>
        </w:rPr>
        <w:t>This example does not test scans, Arabic text, or complex layouts.</w:t>
      </w:r>
    </w:p>
    <w:sectPr w:rsidR="00FC693F" w:rsidRPr="0006063C" w:rsidSect="00034616">
      <w:pgSz w:w="11900" w:h="16840"/>
      <w:pgMar w:top="426" w:right="930" w:bottom="1440" w:left="95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